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A2" w:rsidRPr="00771CA2" w:rsidRDefault="00771CA2" w:rsidP="008512BA">
      <w:pPr>
        <w:pBdr>
          <w:top w:val="nil"/>
          <w:left w:val="nil"/>
          <w:bottom w:val="nil"/>
          <w:right w:val="nil"/>
          <w:between w:val="nil"/>
        </w:pBdr>
        <w:spacing w:after="280"/>
        <w:jc w:val="right"/>
        <w:rPr>
          <w:rFonts w:ascii="Arial" w:eastAsia="Arial" w:hAnsi="Arial" w:cs="Arial"/>
          <w:b/>
          <w:color w:val="000000"/>
          <w:sz w:val="32"/>
          <w:szCs w:val="32"/>
        </w:rPr>
      </w:pPr>
      <w:bookmarkStart w:id="0" w:name="_GoBack"/>
      <w:r>
        <w:rPr>
          <w:rFonts w:ascii="Arial" w:eastAsia="Arial" w:hAnsi="Arial" w:cs="Arial"/>
          <w:b/>
          <w:color w:val="000000"/>
          <w:sz w:val="32"/>
          <w:szCs w:val="32"/>
        </w:rPr>
        <w:t>I</w:t>
      </w:r>
      <w:r w:rsidR="008512BA">
        <w:rPr>
          <w:rFonts w:ascii="Arial" w:eastAsia="Arial" w:hAnsi="Arial" w:cs="Arial"/>
          <w:b/>
          <w:color w:val="000000"/>
          <w:sz w:val="32"/>
          <w:szCs w:val="32"/>
        </w:rPr>
        <w:t>nstructor</w:t>
      </w:r>
      <w:r w:rsidRPr="00771CA2">
        <w:rPr>
          <w:rFonts w:ascii="Arial" w:eastAsia="Arial" w:hAnsi="Arial" w:cs="Arial"/>
          <w:b/>
          <w:color w:val="000000"/>
          <w:sz w:val="32"/>
          <w:szCs w:val="32"/>
        </w:rPr>
        <w:t xml:space="preserve"> </w:t>
      </w:r>
      <w:r w:rsidR="008512BA">
        <w:rPr>
          <w:rFonts w:ascii="Arial" w:eastAsia="Arial" w:hAnsi="Arial" w:cs="Arial"/>
          <w:b/>
          <w:color w:val="000000"/>
          <w:sz w:val="32"/>
          <w:szCs w:val="32"/>
        </w:rPr>
        <w:br/>
      </w:r>
      <w:r w:rsidRPr="00771CA2">
        <w:rPr>
          <w:rFonts w:ascii="Arial" w:eastAsia="Arial" w:hAnsi="Arial" w:cs="Arial"/>
          <w:b/>
          <w:color w:val="000000"/>
          <w:sz w:val="32"/>
          <w:szCs w:val="32"/>
        </w:rPr>
        <w:t>I</w:t>
      </w:r>
      <w:r w:rsidR="008512BA">
        <w:rPr>
          <w:rFonts w:ascii="Arial" w:eastAsia="Arial" w:hAnsi="Arial" w:cs="Arial"/>
          <w:b/>
          <w:color w:val="000000"/>
          <w:sz w:val="32"/>
          <w:szCs w:val="32"/>
        </w:rPr>
        <w:t>nformation</w:t>
      </w:r>
    </w:p>
    <w:p w:rsidR="00473ACB" w:rsidRPr="00CC31FB" w:rsidRDefault="00B837C6" w:rsidP="00CC31FB">
      <w:pPr>
        <w:pBdr>
          <w:top w:val="nil"/>
          <w:left w:val="nil"/>
          <w:bottom w:val="nil"/>
          <w:right w:val="nil"/>
          <w:between w:val="nil"/>
        </w:pBdr>
        <w:spacing w:after="280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48"/>
          <w:szCs w:val="48"/>
        </w:rPr>
        <w:t>Enzyme Action</w:t>
      </w:r>
      <w:proofErr w:type="gramStart"/>
      <w:r>
        <w:rPr>
          <w:rFonts w:ascii="Arial" w:eastAsia="Arial" w:hAnsi="Arial" w:cs="Arial"/>
          <w:b/>
          <w:color w:val="000000"/>
          <w:sz w:val="48"/>
          <w:szCs w:val="48"/>
        </w:rPr>
        <w:t>:</w:t>
      </w:r>
      <w:proofErr w:type="gramEnd"/>
      <w:r>
        <w:rPr>
          <w:rFonts w:ascii="Arial" w:eastAsia="Arial" w:hAnsi="Arial" w:cs="Arial"/>
          <w:b/>
          <w:color w:val="000000"/>
          <w:sz w:val="48"/>
          <w:szCs w:val="48"/>
        </w:rPr>
        <w:br/>
      </w:r>
      <w:r>
        <w:rPr>
          <w:rFonts w:ascii="Arial" w:eastAsia="Arial" w:hAnsi="Arial" w:cs="Arial"/>
          <w:b/>
          <w:sz w:val="48"/>
          <w:szCs w:val="48"/>
        </w:rPr>
        <w:t>Temperature of Denaturation</w:t>
      </w:r>
    </w:p>
    <w:bookmarkEnd w:id="0"/>
    <w:p w:rsidR="00473ACB" w:rsidRDefault="00771CA2" w:rsidP="008512BA">
      <w:pPr>
        <w:pStyle w:val="numberedlist"/>
        <w:spacing w:line="250" w:lineRule="exact"/>
      </w:pPr>
      <w:r>
        <w:t xml:space="preserve">This experiment can be done with the following </w:t>
      </w:r>
      <w:r w:rsidR="00B837C6">
        <w:t>O</w:t>
      </w:r>
      <w:r w:rsidR="00B837C6" w:rsidRPr="00771CA2">
        <w:rPr>
          <w:sz w:val="17"/>
          <w:szCs w:val="17"/>
          <w:vertAlign w:val="subscript"/>
        </w:rPr>
        <w:t>2</w:t>
      </w:r>
      <w:r w:rsidR="00B837C6">
        <w:t xml:space="preserve"> gas sensors </w:t>
      </w:r>
      <w:r>
        <w:t>sold by Vernier: Go Direct Oxygen Gas (order code: GDX-O2) and O</w:t>
      </w:r>
      <w:r w:rsidRPr="00771CA2">
        <w:rPr>
          <w:sz w:val="17"/>
          <w:szCs w:val="17"/>
          <w:vertAlign w:val="subscript"/>
        </w:rPr>
        <w:t xml:space="preserve">2 </w:t>
      </w:r>
      <w:r>
        <w:t>Gas Sensor (order code: O2-BTA)</w:t>
      </w:r>
      <w:r w:rsidR="00B837C6">
        <w:t xml:space="preserve">. The </w:t>
      </w:r>
      <w:r>
        <w:t xml:space="preserve">O2-BTA </w:t>
      </w:r>
      <w:r w:rsidR="00B837C6">
        <w:t>require</w:t>
      </w:r>
      <w:r>
        <w:t>s</w:t>
      </w:r>
      <w:r w:rsidR="00B837C6">
        <w:t xml:space="preserve"> an interface</w:t>
      </w:r>
      <w:r>
        <w:t xml:space="preserve">, such as </w:t>
      </w:r>
      <w:proofErr w:type="spellStart"/>
      <w:r>
        <w:t>LabQuest</w:t>
      </w:r>
      <w:proofErr w:type="spellEnd"/>
      <w:r>
        <w:t xml:space="preserve"> 2</w:t>
      </w:r>
      <w:r w:rsidR="00B837C6">
        <w:t xml:space="preserve">. </w:t>
      </w:r>
    </w:p>
    <w:p w:rsidR="00473ACB" w:rsidRDefault="00B837C6" w:rsidP="008512BA">
      <w:pPr>
        <w:pStyle w:val="numberedlist"/>
        <w:spacing w:line="250" w:lineRule="exact"/>
      </w:pPr>
      <w:r w:rsidRPr="00771CA2">
        <w:t>Test the experiment before the students begin. Depending on the type of enzyme you use, the activity will vary greatly</w:t>
      </w:r>
      <w:r w:rsidR="00771CA2">
        <w:t>;</w:t>
      </w:r>
      <w:r w:rsidRPr="00771CA2">
        <w:t xml:space="preserve"> you may need to dilute the enzyme solution or make a new solution to get the ideal reaction rate.</w:t>
      </w:r>
    </w:p>
    <w:p w:rsidR="00473ACB" w:rsidRDefault="00B837C6" w:rsidP="008512BA">
      <w:pPr>
        <w:pStyle w:val="numberedlist"/>
        <w:spacing w:line="250" w:lineRule="exact"/>
      </w:pPr>
      <w:r w:rsidRPr="00771CA2">
        <w:t xml:space="preserve">This experiment may take a single group </w:t>
      </w:r>
      <w:r>
        <w:t>two</w:t>
      </w:r>
      <w:r w:rsidRPr="00771CA2">
        <w:t xml:space="preserve"> lab periods to complete. A good breaking point is after the completion of Part I, when students have tested </w:t>
      </w:r>
      <w:r>
        <w:t xml:space="preserve">the </w:t>
      </w:r>
      <w:r w:rsidRPr="00771CA2">
        <w:t xml:space="preserve">enzyme </w:t>
      </w:r>
      <w:r>
        <w:t>at room temperature</w:t>
      </w:r>
      <w:r w:rsidRPr="00771CA2">
        <w:t xml:space="preserve">. Alternatively, if time is limited, different groups can be assigned </w:t>
      </w:r>
      <w:r>
        <w:t xml:space="preserve">different exposure temperatures. The </w:t>
      </w:r>
      <w:r w:rsidRPr="00771CA2">
        <w:t>data can t</w:t>
      </w:r>
      <w:r>
        <w:t xml:space="preserve">hen be aggregated and </w:t>
      </w:r>
      <w:r w:rsidRPr="00771CA2">
        <w:t>shared.</w:t>
      </w:r>
    </w:p>
    <w:p w:rsidR="00473ACB" w:rsidRDefault="00B837C6" w:rsidP="008512BA">
      <w:pPr>
        <w:pStyle w:val="numberedlist"/>
        <w:spacing w:line="250" w:lineRule="exact"/>
      </w:pPr>
      <w:r w:rsidRPr="00771CA2">
        <w:t xml:space="preserve">Your hot tap water </w:t>
      </w:r>
      <w:r w:rsidR="008A1801">
        <w:t>will likely</w:t>
      </w:r>
      <w:r w:rsidRPr="00771CA2">
        <w:t xml:space="preserve"> be in the range of 50–55°C. </w:t>
      </w:r>
      <w:r>
        <w:t>Y</w:t>
      </w:r>
      <w:r w:rsidRPr="00771CA2">
        <w:t>ou may</w:t>
      </w:r>
      <w:r>
        <w:t xml:space="preserve"> need</w:t>
      </w:r>
      <w:r w:rsidRPr="00771CA2">
        <w:t xml:space="preserve"> to supply pre-warmed temperature baths for Part II, where students need to maintain </w:t>
      </w:r>
      <w:r>
        <w:t>water baths at or above this temperature range</w:t>
      </w:r>
      <w:r w:rsidRPr="00771CA2">
        <w:t xml:space="preserve">. Warn students not to touch the hot water. </w:t>
      </w:r>
    </w:p>
    <w:p w:rsidR="00473ACB" w:rsidRDefault="00B837C6" w:rsidP="008512BA">
      <w:pPr>
        <w:pStyle w:val="numberedlist"/>
        <w:spacing w:line="250" w:lineRule="exact"/>
      </w:pPr>
      <w:r w:rsidRPr="00771CA2">
        <w:t xml:space="preserve">We recommend purchasing purified </w:t>
      </w:r>
      <w:proofErr w:type="spellStart"/>
      <w:r w:rsidRPr="00771CA2">
        <w:t>catalase</w:t>
      </w:r>
      <w:proofErr w:type="spellEnd"/>
      <w:r w:rsidRPr="00771CA2">
        <w:t xml:space="preserve"> enzyme from </w:t>
      </w:r>
      <w:proofErr w:type="spellStart"/>
      <w:r w:rsidRPr="00771CA2">
        <w:t>Flinn</w:t>
      </w:r>
      <w:proofErr w:type="spellEnd"/>
      <w:r w:rsidRPr="00771CA2">
        <w:t xml:space="preserve"> Scientific, Ward’s Natural Science, or Sigma-Aldrich. The concentration of enzyme varies from 2000–5000 units/mg and depends on the bottle. Store the </w:t>
      </w:r>
      <w:proofErr w:type="spellStart"/>
      <w:r w:rsidRPr="00771CA2">
        <w:t>catalase</w:t>
      </w:r>
      <w:proofErr w:type="spellEnd"/>
      <w:r w:rsidRPr="00771CA2">
        <w:t xml:space="preserve"> powder as instructed. Enzyme activity may decrease from year to year, but will remain viable for up to three years.</w:t>
      </w:r>
    </w:p>
    <w:p w:rsidR="00473ACB" w:rsidRDefault="00771CA2" w:rsidP="00C23F7C">
      <w:pPr>
        <w:pStyle w:val="numberedlist"/>
      </w:pPr>
      <w:r>
        <w:t>Use the following</w:t>
      </w:r>
      <w:r w:rsidR="00B837C6" w:rsidRPr="00771CA2">
        <w:t xml:space="preserve"> instructions to prepare an enzyme solution</w:t>
      </w:r>
      <w:r>
        <w:t>:</w:t>
      </w:r>
    </w:p>
    <w:p w:rsidR="00473ACB" w:rsidRPr="00771CA2" w:rsidRDefault="00B837C6" w:rsidP="008512BA">
      <w:pPr>
        <w:pStyle w:val="normal0"/>
        <w:ind w:left="360"/>
        <w:rPr>
          <w:rFonts w:ascii="Arial" w:hAnsi="Arial" w:cs="Arial"/>
          <w:b/>
          <w:sz w:val="20"/>
          <w:szCs w:val="20"/>
        </w:rPr>
      </w:pPr>
      <w:r w:rsidRPr="00771CA2">
        <w:rPr>
          <w:rFonts w:ascii="Arial" w:hAnsi="Arial" w:cs="Arial"/>
          <w:b/>
          <w:sz w:val="20"/>
          <w:szCs w:val="20"/>
        </w:rPr>
        <w:t>Purified catalase</w:t>
      </w:r>
    </w:p>
    <w:p w:rsidR="00473ACB" w:rsidRDefault="00B837C6" w:rsidP="008512BA">
      <w:pPr>
        <w:pStyle w:val="numberedlistabc"/>
        <w:ind w:left="630"/>
      </w:pPr>
      <w:r>
        <w:t>Make a stock solution of 1000 units/</w:t>
      </w:r>
      <w:proofErr w:type="spellStart"/>
      <w:r>
        <w:t>mL.</w:t>
      </w:r>
      <w:proofErr w:type="spellEnd"/>
    </w:p>
    <w:p w:rsidR="00473ACB" w:rsidRDefault="00B837C6" w:rsidP="008512BA">
      <w:pPr>
        <w:pStyle w:val="numberedlistabc"/>
        <w:ind w:left="630"/>
      </w:pPr>
      <w:r>
        <w:t xml:space="preserve">Dilute the stock solution </w:t>
      </w:r>
      <w:proofErr w:type="gramStart"/>
      <w:r>
        <w:t>to 200 units/</w:t>
      </w:r>
      <w:proofErr w:type="spellStart"/>
      <w:r>
        <w:t>mL</w:t>
      </w:r>
      <w:proofErr w:type="spellEnd"/>
      <w:r>
        <w:t xml:space="preserve"> for use by the students</w:t>
      </w:r>
      <w:proofErr w:type="gramEnd"/>
      <w:r>
        <w:t>.</w:t>
      </w:r>
    </w:p>
    <w:p w:rsidR="00473ACB" w:rsidRPr="00771CA2" w:rsidRDefault="00473ACB" w:rsidP="008512BA">
      <w:pPr>
        <w:pStyle w:val="NoSpacing"/>
        <w:spacing w:line="120" w:lineRule="auto"/>
        <w:ind w:left="360"/>
        <w:rPr>
          <w:sz w:val="16"/>
          <w:szCs w:val="16"/>
        </w:rPr>
      </w:pPr>
    </w:p>
    <w:p w:rsidR="00473ACB" w:rsidRPr="00771CA2" w:rsidRDefault="00B837C6" w:rsidP="008512BA">
      <w:pPr>
        <w:pStyle w:val="subhead"/>
        <w:ind w:left="360" w:firstLine="0"/>
      </w:pPr>
      <w:r w:rsidRPr="00771CA2">
        <w:t>Yeast suspension</w:t>
      </w:r>
    </w:p>
    <w:p w:rsidR="00473ACB" w:rsidRDefault="00B837C6" w:rsidP="008512BA">
      <w:pPr>
        <w:pStyle w:val="numberedlistabc"/>
        <w:numPr>
          <w:ilvl w:val="2"/>
          <w:numId w:val="14"/>
        </w:numPr>
        <w:ind w:left="630" w:hanging="270"/>
      </w:pPr>
      <w:r>
        <w:t xml:space="preserve">Dissolve 1 package (7 g) of dried yeast per 100 </w:t>
      </w:r>
      <w:proofErr w:type="spellStart"/>
      <w:r>
        <w:t>mL</w:t>
      </w:r>
      <w:proofErr w:type="spellEnd"/>
      <w:r>
        <w:t xml:space="preserve"> of 2% sugar solution. To prepare a 2% sugar solution, add 20 grams of sugar to make one liter of solution.</w:t>
      </w:r>
    </w:p>
    <w:p w:rsidR="00473ACB" w:rsidRDefault="00B837C6" w:rsidP="008512BA">
      <w:pPr>
        <w:pStyle w:val="numberedlistabc"/>
        <w:ind w:left="630"/>
      </w:pPr>
      <w:r>
        <w:t>Incubate the suspension in 37–40°C water for at least 10 minutes to activate the yeast.</w:t>
      </w:r>
    </w:p>
    <w:p w:rsidR="00473ACB" w:rsidRDefault="00B837C6" w:rsidP="008512BA">
      <w:pPr>
        <w:pStyle w:val="numberedlistabc"/>
        <w:ind w:left="630"/>
      </w:pPr>
      <w:r>
        <w:t>To ensure a uniform yeast concentration, make the suspension available on a magnetic stirrer and instruct your students to withdraw their samples from the center as the suspension is being stirred.</w:t>
      </w:r>
    </w:p>
    <w:p w:rsidR="00473ACB" w:rsidRDefault="00B837C6" w:rsidP="008512BA">
      <w:pPr>
        <w:pStyle w:val="numberedlistabc"/>
        <w:ind w:left="630"/>
      </w:pPr>
      <w:r>
        <w:t>The yeast may need to be diluted if the reaction occurs too rapidly.</w:t>
      </w:r>
    </w:p>
    <w:p w:rsidR="00771CA2" w:rsidRPr="00771CA2" w:rsidRDefault="00771CA2" w:rsidP="008512BA">
      <w:pPr>
        <w:pStyle w:val="NoSpacing"/>
        <w:numPr>
          <w:ilvl w:val="0"/>
          <w:numId w:val="12"/>
        </w:numPr>
        <w:spacing w:line="120" w:lineRule="auto"/>
        <w:ind w:left="360"/>
        <w:rPr>
          <w:sz w:val="16"/>
          <w:szCs w:val="16"/>
        </w:rPr>
      </w:pPr>
    </w:p>
    <w:p w:rsidR="00473ACB" w:rsidRDefault="00B837C6" w:rsidP="008512BA">
      <w:pPr>
        <w:pStyle w:val="subhead"/>
        <w:ind w:left="360" w:firstLine="0"/>
      </w:pPr>
      <w:r>
        <w:t>Liver suspension</w:t>
      </w:r>
    </w:p>
    <w:p w:rsidR="00473ACB" w:rsidRDefault="00B837C6" w:rsidP="008512BA">
      <w:pPr>
        <w:pStyle w:val="numberedlistabc"/>
        <w:numPr>
          <w:ilvl w:val="2"/>
          <w:numId w:val="15"/>
        </w:numPr>
        <w:ind w:left="630" w:hanging="270"/>
      </w:pPr>
      <w:r>
        <w:t xml:space="preserve">Homogenize 0.5 to 1.5 g of beef liver in 100 </w:t>
      </w:r>
      <w:proofErr w:type="spellStart"/>
      <w:r>
        <w:t>mL</w:t>
      </w:r>
      <w:proofErr w:type="spellEnd"/>
      <w:r>
        <w:t xml:space="preserve"> of cold water.</w:t>
      </w:r>
    </w:p>
    <w:p w:rsidR="00473ACB" w:rsidRDefault="00B837C6" w:rsidP="008512BA">
      <w:pPr>
        <w:pStyle w:val="numberedlistabc"/>
        <w:ind w:left="630"/>
      </w:pPr>
      <w:r>
        <w:t xml:space="preserve">Keep the suspension on ice until it is to be used. </w:t>
      </w:r>
    </w:p>
    <w:p w:rsidR="00473ACB" w:rsidRDefault="00B837C6" w:rsidP="008512BA">
      <w:pPr>
        <w:pStyle w:val="numberedlistabc"/>
        <w:ind w:left="630"/>
      </w:pPr>
      <w:r>
        <w:t>Dilute the suspension as needed based on reaction rate.</w:t>
      </w:r>
    </w:p>
    <w:p w:rsidR="00771CA2" w:rsidRDefault="00771CA2" w:rsidP="00771CA2">
      <w:pPr>
        <w:pStyle w:val="NoSpacing"/>
        <w:spacing w:line="120" w:lineRule="auto"/>
        <w:rPr>
          <w:sz w:val="16"/>
          <w:szCs w:val="16"/>
        </w:rPr>
      </w:pPr>
    </w:p>
    <w:p w:rsidR="00771CA2" w:rsidRPr="00771CA2" w:rsidRDefault="00771CA2" w:rsidP="00771CA2">
      <w:pPr>
        <w:pStyle w:val="NoSpacing"/>
        <w:spacing w:line="120" w:lineRule="auto"/>
        <w:rPr>
          <w:sz w:val="16"/>
          <w:szCs w:val="16"/>
        </w:rPr>
      </w:pPr>
    </w:p>
    <w:p w:rsidR="00473ACB" w:rsidRDefault="00B837C6" w:rsidP="008512BA">
      <w:pPr>
        <w:pStyle w:val="numberedlist"/>
        <w:spacing w:line="250" w:lineRule="exact"/>
      </w:pPr>
      <w:r>
        <w:lastRenderedPageBreak/>
        <w:t>You can purchase 3% H</w:t>
      </w:r>
      <w:r>
        <w:rPr>
          <w:sz w:val="17"/>
          <w:szCs w:val="17"/>
          <w:vertAlign w:val="subscript"/>
        </w:rPr>
        <w:t>2</w:t>
      </w:r>
      <w:r>
        <w:t>O</w:t>
      </w:r>
      <w:r>
        <w:rPr>
          <w:sz w:val="17"/>
          <w:szCs w:val="17"/>
          <w:vertAlign w:val="subscript"/>
        </w:rPr>
        <w:t>2</w:t>
      </w:r>
      <w:r>
        <w:t xml:space="preserve"> at any supermarket. If refrigerated, bring it to room temperature before starting the experiment. Dilute the 3% H</w:t>
      </w:r>
      <w:r>
        <w:rPr>
          <w:sz w:val="17"/>
          <w:szCs w:val="17"/>
          <w:vertAlign w:val="subscript"/>
        </w:rPr>
        <w:t>2</w:t>
      </w:r>
      <w:r>
        <w:t>O</w:t>
      </w:r>
      <w:r>
        <w:rPr>
          <w:sz w:val="17"/>
          <w:szCs w:val="17"/>
          <w:vertAlign w:val="subscript"/>
        </w:rPr>
        <w:t>2</w:t>
      </w:r>
      <w:r w:rsidR="00771CA2">
        <w:t xml:space="preserve"> b</w:t>
      </w:r>
      <w:r>
        <w:t>y 50% to create a 1.5% solution.</w:t>
      </w:r>
    </w:p>
    <w:p w:rsidR="00473ACB" w:rsidRDefault="00771CA2" w:rsidP="008512BA">
      <w:pPr>
        <w:pStyle w:val="numberedlist"/>
        <w:spacing w:line="250" w:lineRule="exact"/>
      </w:pPr>
      <w:r>
        <w:t>All Vernier O</w:t>
      </w:r>
      <w:r>
        <w:rPr>
          <w:vertAlign w:val="subscript"/>
        </w:rPr>
        <w:t>2</w:t>
      </w:r>
      <w:r>
        <w:t xml:space="preserve"> gas s</w:t>
      </w:r>
      <w:r w:rsidR="00B837C6">
        <w:t xml:space="preserve">ensors should always be used and stored upright. Do not get the sensor wet. </w:t>
      </w:r>
    </w:p>
    <w:p w:rsidR="00473ACB" w:rsidRDefault="00B837C6" w:rsidP="008512BA">
      <w:pPr>
        <w:pStyle w:val="numberedlist"/>
        <w:spacing w:line="250" w:lineRule="exact"/>
      </w:pPr>
      <w:r>
        <w:t xml:space="preserve">This experiment works best using a Stir Station, micropipettes, and </w:t>
      </w:r>
      <w:proofErr w:type="spellStart"/>
      <w:r>
        <w:t>microtubes</w:t>
      </w:r>
      <w:proofErr w:type="spellEnd"/>
      <w:r>
        <w:t xml:space="preserve">. If you do not have access to these materials, you can use </w:t>
      </w:r>
      <w:proofErr w:type="spellStart"/>
      <w:r>
        <w:t>beral</w:t>
      </w:r>
      <w:proofErr w:type="spellEnd"/>
      <w:r>
        <w:t xml:space="preserve"> pipettes and test tubes. Incubate 1 </w:t>
      </w:r>
      <w:proofErr w:type="spellStart"/>
      <w:r>
        <w:t>mL</w:t>
      </w:r>
      <w:proofErr w:type="spellEnd"/>
      <w:r>
        <w:t xml:space="preserve"> of enzyme suspension in a test tube in the desired water bath. Then use 5 drops of enzyme suspension to catalyze the reaction instead of 100 µL. Add the drops to a test tube filled with 10 </w:t>
      </w:r>
      <w:proofErr w:type="spellStart"/>
      <w:r>
        <w:t>mL</w:t>
      </w:r>
      <w:proofErr w:type="spellEnd"/>
      <w:r>
        <w:t xml:space="preserve"> of 1.5% </w:t>
      </w:r>
      <w:proofErr w:type="gramStart"/>
      <w:r>
        <w:t>H</w:t>
      </w:r>
      <w:r>
        <w:rPr>
          <w:sz w:val="17"/>
          <w:szCs w:val="17"/>
          <w:vertAlign w:val="subscript"/>
        </w:rPr>
        <w:t>2</w:t>
      </w:r>
      <w:r>
        <w:t>O</w:t>
      </w:r>
      <w:r>
        <w:rPr>
          <w:sz w:val="17"/>
          <w:szCs w:val="17"/>
          <w:vertAlign w:val="subscript"/>
        </w:rPr>
        <w:t xml:space="preserve">2 </w:t>
      </w:r>
      <w:r>
        <w:t>.</w:t>
      </w:r>
      <w:proofErr w:type="gramEnd"/>
      <w:r>
        <w:t xml:space="preserve"> Cover the opening of the test tube with a finger and gently invert the test tube two times. Then pour the contents of the test tube into the 250 </w:t>
      </w:r>
      <w:proofErr w:type="spellStart"/>
      <w:r>
        <w:t>mL</w:t>
      </w:r>
      <w:proofErr w:type="spellEnd"/>
      <w:r>
        <w:t xml:space="preserve"> </w:t>
      </w:r>
      <w:proofErr w:type="spellStart"/>
      <w:r>
        <w:t>Nalgene</w:t>
      </w:r>
      <w:proofErr w:type="spellEnd"/>
      <w:r>
        <w:t xml:space="preserve"> bottle. Place the O</w:t>
      </w:r>
      <w:r>
        <w:rPr>
          <w:vertAlign w:val="subscript"/>
        </w:rPr>
        <w:t>2</w:t>
      </w:r>
      <w:r>
        <w:t xml:space="preserve"> gas sensor into the bottle as shown in Figure 1</w:t>
      </w:r>
      <w:r w:rsidR="00C23F7C">
        <w:t xml:space="preserve"> in the student experiment. Wait </w:t>
      </w:r>
      <w:r w:rsidR="00C23F7C" w:rsidRPr="00C23F7C">
        <w:t>10</w:t>
      </w:r>
      <w:r w:rsidR="00C23F7C">
        <w:t> </w:t>
      </w:r>
      <w:r w:rsidRPr="00C23F7C">
        <w:t>seconds</w:t>
      </w:r>
      <w:r>
        <w:t xml:space="preserve"> and then start data collection.</w:t>
      </w:r>
    </w:p>
    <w:p w:rsidR="00473ACB" w:rsidRDefault="00B837C6" w:rsidP="008512BA">
      <w:pPr>
        <w:pStyle w:val="numberedlist10"/>
        <w:spacing w:line="250" w:lineRule="exact"/>
      </w:pPr>
      <w:r>
        <w:t xml:space="preserve">If you are using Go Direct sensors, see </w:t>
      </w:r>
      <w:hyperlink r:id="rId7">
        <w:r>
          <w:rPr>
            <w:rFonts w:ascii="Arial" w:eastAsia="Arial" w:hAnsi="Arial" w:cs="Arial"/>
            <w:b/>
            <w:sz w:val="20"/>
            <w:szCs w:val="20"/>
          </w:rPr>
          <w:t>www.vernier.com/start/go-direct</w:t>
        </w:r>
      </w:hyperlink>
      <w:r>
        <w:t xml:space="preserve"> for information about how to connect your sensor.</w:t>
      </w:r>
    </w:p>
    <w:p w:rsidR="00473ACB" w:rsidRDefault="00B837C6" w:rsidP="008512BA">
      <w:pPr>
        <w:pStyle w:val="numberedlist10"/>
        <w:spacing w:line="250" w:lineRule="exact"/>
      </w:pPr>
      <w:r>
        <w:t xml:space="preserve">For additional information about the Vernier </w:t>
      </w:r>
      <w:proofErr w:type="spellStart"/>
      <w:r>
        <w:t>probeware</w:t>
      </w:r>
      <w:proofErr w:type="spellEnd"/>
      <w:r>
        <w:t xml:space="preserve"> used in this experiment, including tips and product specifications, visit </w:t>
      </w:r>
      <w:hyperlink r:id="rId8">
        <w:r>
          <w:rPr>
            <w:rFonts w:ascii="Arial" w:eastAsia="Arial" w:hAnsi="Arial" w:cs="Arial"/>
            <w:b/>
            <w:sz w:val="20"/>
            <w:szCs w:val="20"/>
          </w:rPr>
          <w:t>www.vernier.com/manuals</w:t>
        </w:r>
      </w:hyperlink>
      <w:r>
        <w:t xml:space="preserve"> and download the appropriate user manual.</w:t>
      </w:r>
    </w:p>
    <w:p w:rsidR="00473ACB" w:rsidRDefault="00B837C6">
      <w:pPr>
        <w:keepNext/>
        <w:pBdr>
          <w:top w:val="nil"/>
          <w:left w:val="nil"/>
          <w:bottom w:val="nil"/>
          <w:right w:val="nil"/>
          <w:between w:val="nil"/>
        </w:pBdr>
        <w:spacing w:before="480" w:after="120"/>
        <w:rPr>
          <w:rFonts w:ascii="Arial" w:eastAsia="Arial" w:hAnsi="Arial" w:cs="Arial"/>
          <w:b/>
          <w:smallCaps/>
          <w:color w:val="000000"/>
          <w:sz w:val="28"/>
          <w:szCs w:val="28"/>
        </w:rPr>
      </w:pPr>
      <w:r>
        <w:rPr>
          <w:rFonts w:ascii="Arial" w:eastAsia="Arial" w:hAnsi="Arial" w:cs="Arial"/>
          <w:b/>
          <w:smallCaps/>
          <w:color w:val="000000"/>
          <w:sz w:val="28"/>
          <w:szCs w:val="28"/>
        </w:rPr>
        <w:t>ESTIMATED TIME</w:t>
      </w:r>
    </w:p>
    <w:p w:rsidR="00473ACB" w:rsidRDefault="00B837C6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</w:rPr>
      </w:pPr>
      <w:r>
        <w:rPr>
          <w:color w:val="000000"/>
        </w:rPr>
        <w:t>We estimate that setup and data collection can be completed in two 45-minute class periods.</w:t>
      </w:r>
    </w:p>
    <w:p w:rsidR="00473ACB" w:rsidRDefault="00B837C6">
      <w:pPr>
        <w:keepNext/>
        <w:pBdr>
          <w:top w:val="nil"/>
          <w:left w:val="nil"/>
          <w:bottom w:val="nil"/>
          <w:right w:val="nil"/>
          <w:between w:val="nil"/>
        </w:pBdr>
        <w:spacing w:before="480" w:after="120"/>
        <w:rPr>
          <w:rFonts w:ascii="Arial" w:eastAsia="Arial" w:hAnsi="Arial" w:cs="Arial"/>
          <w:b/>
          <w:smallCaps/>
          <w:color w:val="000000"/>
          <w:sz w:val="28"/>
          <w:szCs w:val="28"/>
        </w:rPr>
      </w:pPr>
      <w:r>
        <w:rPr>
          <w:rFonts w:ascii="Arial" w:eastAsia="Arial" w:hAnsi="Arial" w:cs="Arial"/>
          <w:b/>
          <w:smallCaps/>
          <w:color w:val="000000"/>
          <w:sz w:val="28"/>
          <w:szCs w:val="28"/>
        </w:rPr>
        <w:t>NEXT GENERATION SCIENCE STANDARDS (NGSS)</w:t>
      </w:r>
    </w:p>
    <w:tbl>
      <w:tblPr>
        <w:tblStyle w:val="a"/>
        <w:tblW w:w="975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3750"/>
        <w:gridCol w:w="3000"/>
        <w:gridCol w:w="3000"/>
      </w:tblGrid>
      <w:tr w:rsidR="00473ACB"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Science and Engineering Practices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Disciplinary Core Ideas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Crosscutting Concepts</w:t>
            </w:r>
          </w:p>
        </w:tc>
      </w:tr>
      <w:tr w:rsidR="00473ACB">
        <w:tc>
          <w:tcPr>
            <w:tcW w:w="3750" w:type="dxa"/>
            <w:tcBorders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Analyzing and Interpreting Data</w:t>
            </w:r>
          </w:p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Developing and Using Models</w:t>
            </w:r>
          </w:p>
        </w:tc>
        <w:tc>
          <w:tcPr>
            <w:tcW w:w="3000" w:type="dxa"/>
            <w:tcBorders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LS1.A: Structure and Function</w:t>
            </w:r>
          </w:p>
        </w:tc>
        <w:tc>
          <w:tcPr>
            <w:tcW w:w="30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Cause and Effect</w:t>
            </w:r>
          </w:p>
          <w:p w:rsidR="00473ACB" w:rsidRDefault="00B83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Structure and Function</w:t>
            </w:r>
          </w:p>
        </w:tc>
      </w:tr>
    </w:tbl>
    <w:p w:rsidR="00771CA2" w:rsidRDefault="00771CA2">
      <w:pPr>
        <w:keepNext/>
        <w:pBdr>
          <w:top w:val="nil"/>
          <w:left w:val="nil"/>
          <w:bottom w:val="nil"/>
          <w:right w:val="nil"/>
          <w:between w:val="nil"/>
        </w:pBdr>
        <w:spacing w:before="480" w:after="120"/>
        <w:rPr>
          <w:rFonts w:ascii="Arial" w:eastAsia="Arial" w:hAnsi="Arial" w:cs="Arial"/>
          <w:b/>
          <w:smallCaps/>
          <w:color w:val="000000"/>
          <w:sz w:val="28"/>
          <w:szCs w:val="28"/>
        </w:rPr>
      </w:pPr>
    </w:p>
    <w:p w:rsidR="00771CA2" w:rsidRDefault="00771CA2">
      <w:pPr>
        <w:rPr>
          <w:rFonts w:ascii="Arial" w:eastAsia="Arial" w:hAnsi="Arial" w:cs="Arial"/>
          <w:b/>
          <w:smallCaps/>
          <w:color w:val="000000"/>
          <w:sz w:val="28"/>
          <w:szCs w:val="28"/>
        </w:rPr>
      </w:pPr>
      <w:r>
        <w:rPr>
          <w:rFonts w:ascii="Arial" w:eastAsia="Arial" w:hAnsi="Arial" w:cs="Arial"/>
          <w:b/>
          <w:smallCaps/>
          <w:color w:val="000000"/>
          <w:sz w:val="28"/>
          <w:szCs w:val="28"/>
        </w:rPr>
        <w:br w:type="page"/>
      </w:r>
    </w:p>
    <w:p w:rsidR="00473ACB" w:rsidRDefault="00B837C6">
      <w:pPr>
        <w:keepNext/>
        <w:pBdr>
          <w:top w:val="nil"/>
          <w:left w:val="nil"/>
          <w:bottom w:val="nil"/>
          <w:right w:val="nil"/>
          <w:between w:val="nil"/>
        </w:pBdr>
        <w:spacing w:before="480" w:after="120"/>
        <w:rPr>
          <w:rFonts w:ascii="Arial" w:eastAsia="Arial" w:hAnsi="Arial" w:cs="Arial"/>
          <w:b/>
          <w:smallCaps/>
          <w:color w:val="000000"/>
          <w:sz w:val="28"/>
          <w:szCs w:val="28"/>
        </w:rPr>
      </w:pPr>
      <w:r>
        <w:rPr>
          <w:rFonts w:ascii="Arial" w:eastAsia="Arial" w:hAnsi="Arial" w:cs="Arial"/>
          <w:b/>
          <w:smallCaps/>
          <w:color w:val="000000"/>
          <w:sz w:val="28"/>
          <w:szCs w:val="28"/>
        </w:rPr>
        <w:lastRenderedPageBreak/>
        <w:t>SAMPLE RESULTS</w:t>
      </w:r>
    </w:p>
    <w:tbl>
      <w:tblPr>
        <w:tblStyle w:val="a0"/>
        <w:tblW w:w="5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2980"/>
        <w:gridCol w:w="2558"/>
      </w:tblGrid>
      <w:tr w:rsidR="00473ACB" w:rsidTr="007B09D0">
        <w:trPr>
          <w:trHeight w:val="288"/>
          <w:jc w:val="center"/>
        </w:trPr>
        <w:tc>
          <w:tcPr>
            <w:tcW w:w="5538" w:type="dxa"/>
            <w:gridSpan w:val="2"/>
          </w:tcPr>
          <w:p w:rsidR="00473ACB" w:rsidRPr="008512BA" w:rsidRDefault="00B837C6" w:rsidP="00771CA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 xml:space="preserve">Table </w:t>
            </w:r>
            <w:r w:rsidR="00C23F7C" w:rsidRPr="008512B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 xml:space="preserve">Exposure temperature </w:t>
            </w:r>
            <w:r w:rsidRPr="008512BA">
              <w:rPr>
                <w:rFonts w:ascii="Arial" w:hAnsi="Arial" w:cs="Arial"/>
                <w:sz w:val="20"/>
                <w:szCs w:val="20"/>
              </w:rPr>
              <w:br/>
              <w:t>(°C)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 xml:space="preserve">Reaction rate </w:t>
            </w:r>
            <w:r w:rsidRPr="008512BA">
              <w:rPr>
                <w:rFonts w:ascii="Arial" w:hAnsi="Arial" w:cs="Arial"/>
                <w:sz w:val="20"/>
                <w:szCs w:val="20"/>
              </w:rPr>
              <w:br/>
              <w:t>(% O</w:t>
            </w:r>
            <w:r w:rsidRPr="008512B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8512BA">
              <w:rPr>
                <w:rFonts w:ascii="Arial" w:hAnsi="Arial" w:cs="Arial"/>
                <w:sz w:val="20"/>
                <w:szCs w:val="20"/>
              </w:rPr>
              <w:t>/s)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10–15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0.0272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20–25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0.0284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30–35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0.0322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40–45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0.0324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50–55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0.0250</w:t>
            </w:r>
          </w:p>
        </w:tc>
      </w:tr>
      <w:tr w:rsidR="00771CA2" w:rsidTr="007B09D0">
        <w:trPr>
          <w:trHeight w:val="288"/>
          <w:jc w:val="center"/>
        </w:trPr>
        <w:tc>
          <w:tcPr>
            <w:tcW w:w="2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pStyle w:val="normal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60–65</w:t>
            </w:r>
          </w:p>
        </w:tc>
        <w:tc>
          <w:tcPr>
            <w:tcW w:w="2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1CA2" w:rsidRPr="008512BA" w:rsidRDefault="00771CA2" w:rsidP="00771CA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2BA">
              <w:rPr>
                <w:rFonts w:ascii="Arial" w:hAnsi="Arial" w:cs="Arial"/>
                <w:sz w:val="20"/>
                <w:szCs w:val="20"/>
              </w:rPr>
              <w:t>0.0120</w:t>
            </w:r>
          </w:p>
        </w:tc>
      </w:tr>
    </w:tbl>
    <w:p w:rsidR="00473ACB" w:rsidRDefault="00473ACB" w:rsidP="00C23F7C">
      <w:pPr>
        <w:pStyle w:val="normal0"/>
      </w:pPr>
    </w:p>
    <w:p w:rsidR="00473ACB" w:rsidRDefault="00B837C6" w:rsidP="00C23F7C">
      <w:pPr>
        <w:pStyle w:val="NoSpacing"/>
        <w:jc w:val="center"/>
      </w:pPr>
      <w:r>
        <w:rPr>
          <w:rFonts w:eastAsia="Helvetica Neue"/>
          <w:noProof/>
        </w:rPr>
        <w:drawing>
          <wp:inline distT="114300" distB="114300" distL="114300" distR="114300">
            <wp:extent cx="5943600" cy="2590800"/>
            <wp:effectExtent l="19050" t="19050" r="19050" b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73ACB" w:rsidRPr="00C23F7C" w:rsidRDefault="00C23F7C" w:rsidP="00C23F7C">
      <w:pPr>
        <w:pStyle w:val="NoSpacing"/>
        <w:spacing w:before="120"/>
        <w:jc w:val="center"/>
        <w:rPr>
          <w:i/>
        </w:rPr>
      </w:pPr>
      <w:r>
        <w:rPr>
          <w:rFonts w:eastAsia="Arial Unicode MS"/>
          <w:i/>
        </w:rPr>
        <w:t xml:space="preserve">Figure </w:t>
      </w:r>
      <w:proofErr w:type="gramStart"/>
      <w:r>
        <w:rPr>
          <w:rFonts w:eastAsia="Arial Unicode MS"/>
          <w:i/>
        </w:rPr>
        <w:t xml:space="preserve">1  </w:t>
      </w:r>
      <w:r w:rsidR="00B837C6" w:rsidRPr="00C23F7C">
        <w:rPr>
          <w:rFonts w:eastAsia="Arial Unicode MS"/>
          <w:i/>
        </w:rPr>
        <w:t>Temperatures</w:t>
      </w:r>
      <w:proofErr w:type="gramEnd"/>
      <w:r w:rsidR="00B837C6" w:rsidRPr="00C23F7C">
        <w:rPr>
          <w:rFonts w:eastAsia="Arial Unicode MS"/>
          <w:i/>
        </w:rPr>
        <w:t xml:space="preserve"> above 40℃ appear to denature the enzyme </w:t>
      </w:r>
      <w:proofErr w:type="spellStart"/>
      <w:r w:rsidR="00B837C6" w:rsidRPr="00C23F7C">
        <w:rPr>
          <w:rFonts w:eastAsia="Arial Unicode MS"/>
          <w:i/>
        </w:rPr>
        <w:t>catalase</w:t>
      </w:r>
      <w:proofErr w:type="spellEnd"/>
    </w:p>
    <w:p w:rsidR="00473ACB" w:rsidRPr="00C23F7C" w:rsidRDefault="00B837C6" w:rsidP="00C23F7C">
      <w:pPr>
        <w:keepNext/>
        <w:pBdr>
          <w:top w:val="nil"/>
          <w:left w:val="nil"/>
          <w:bottom w:val="nil"/>
          <w:right w:val="nil"/>
          <w:between w:val="nil"/>
        </w:pBdr>
        <w:spacing w:before="480" w:after="120"/>
        <w:rPr>
          <w:rFonts w:ascii="Arial" w:eastAsia="Arial" w:hAnsi="Arial" w:cs="Arial"/>
          <w:b/>
          <w:smallCaps/>
          <w:color w:val="000000"/>
          <w:sz w:val="28"/>
          <w:szCs w:val="28"/>
        </w:rPr>
      </w:pPr>
      <w:r>
        <w:rPr>
          <w:rFonts w:ascii="Arial" w:eastAsia="Arial" w:hAnsi="Arial" w:cs="Arial"/>
          <w:b/>
          <w:smallCaps/>
          <w:color w:val="000000"/>
          <w:sz w:val="28"/>
          <w:szCs w:val="28"/>
        </w:rPr>
        <w:t>ANSWERS TO QUESTIONS</w:t>
      </w:r>
    </w:p>
    <w:p w:rsidR="00473ACB" w:rsidRPr="00C23F7C" w:rsidRDefault="00B837C6" w:rsidP="00C23F7C">
      <w:pPr>
        <w:pStyle w:val="numberedlist"/>
        <w:numPr>
          <w:ilvl w:val="0"/>
          <w:numId w:val="18"/>
        </w:numPr>
        <w:ind w:left="360" w:hanging="360"/>
      </w:pPr>
      <w:r>
        <w:t>The exposure temperatures with the highest rate of enzyme activity should be in the 30°C or 40°</w:t>
      </w:r>
      <w:r w:rsidRPr="00C23F7C">
        <w:t>C range. The lowest rate of enzyme activity should be found at exposure temperatures above 40°C. Lower rates of enzyme activity may be found at exposure temperatures below 20°C</w:t>
      </w:r>
    </w:p>
    <w:p w:rsidR="00473ACB" w:rsidRPr="00C23F7C" w:rsidRDefault="00B837C6" w:rsidP="00C23F7C">
      <w:pPr>
        <w:pStyle w:val="numberedlist"/>
      </w:pPr>
      <w:r w:rsidRPr="00C23F7C">
        <w:t>Exposure temperature does not seem to alter the enzyme until the temperature is above 40°C. Exposure temperatures above this level appear to cause enzyme activity to decrease.</w:t>
      </w:r>
    </w:p>
    <w:p w:rsidR="00473ACB" w:rsidRPr="00C23F7C" w:rsidRDefault="00B837C6" w:rsidP="00C23F7C">
      <w:pPr>
        <w:pStyle w:val="numberedlist"/>
      </w:pPr>
      <w:r w:rsidRPr="00C23F7C">
        <w:t>At high temperatures</w:t>
      </w:r>
      <w:r>
        <w:t>, enzymes lose activity as they are denatured.</w:t>
      </w:r>
    </w:p>
    <w:sectPr w:rsidR="00473ACB" w:rsidRPr="00C23F7C" w:rsidSect="004F658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936" w:right="1440" w:bottom="1397" w:left="1440" w:header="317" w:footer="67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801" w:rsidRDefault="008A1801">
      <w:r>
        <w:separator/>
      </w:r>
    </w:p>
  </w:endnote>
  <w:endnote w:type="continuationSeparator" w:id="0">
    <w:p w:rsidR="008A1801" w:rsidRDefault="008A1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01" w:rsidRDefault="008A1801">
    <w:pPr>
      <w:pStyle w:val="Footer"/>
    </w:pPr>
    <w:r w:rsidRPr="00771CA2">
      <w:rPr>
        <w:b/>
      </w:rPr>
      <w:fldChar w:fldCharType="begin"/>
    </w:r>
    <w:r w:rsidRPr="00771CA2">
      <w:rPr>
        <w:b/>
      </w:rPr>
      <w:instrText xml:space="preserve"> PAGE   \* MERGEFORMAT </w:instrText>
    </w:r>
    <w:r w:rsidRPr="00771CA2">
      <w:rPr>
        <w:b/>
      </w:rPr>
      <w:fldChar w:fldCharType="separate"/>
    </w:r>
    <w:r w:rsidR="008512BA">
      <w:rPr>
        <w:b/>
        <w:noProof/>
      </w:rPr>
      <w:t>2</w:t>
    </w:r>
    <w:r w:rsidRPr="00771CA2">
      <w:rPr>
        <w:b/>
      </w:rPr>
      <w:fldChar w:fldCharType="end"/>
    </w:r>
    <w:r>
      <w:tab/>
    </w:r>
    <w:r>
      <w:tab/>
    </w:r>
    <w:r w:rsidRPr="00771CA2">
      <w:rPr>
        <w:b/>
        <w:sz w:val="20"/>
        <w:szCs w:val="20"/>
      </w:rPr>
      <w:t xml:space="preserve">© </w:t>
    </w:r>
    <w:r w:rsidRPr="00771CA2">
      <w:rPr>
        <w:b/>
        <w:i/>
        <w:sz w:val="20"/>
        <w:szCs w:val="20"/>
      </w:rPr>
      <w:t>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01" w:rsidRDefault="008A1801">
    <w:pPr>
      <w:pStyle w:val="Footer"/>
    </w:pPr>
    <w:r w:rsidRPr="00771CA2">
      <w:rPr>
        <w:b/>
        <w:sz w:val="20"/>
        <w:szCs w:val="20"/>
      </w:rPr>
      <w:t xml:space="preserve">© </w:t>
    </w:r>
    <w:r w:rsidRPr="00771CA2">
      <w:rPr>
        <w:b/>
        <w:i/>
        <w:sz w:val="20"/>
        <w:szCs w:val="20"/>
      </w:rPr>
      <w:t>Vernier Software &amp; Technology</w:t>
    </w:r>
    <w:r>
      <w:tab/>
    </w:r>
    <w:r>
      <w:tab/>
    </w:r>
    <w:r w:rsidRPr="00771CA2">
      <w:rPr>
        <w:b/>
      </w:rPr>
      <w:fldChar w:fldCharType="begin"/>
    </w:r>
    <w:r w:rsidRPr="00771CA2">
      <w:rPr>
        <w:b/>
      </w:rPr>
      <w:instrText xml:space="preserve"> PAGE   \* MERGEFORMAT </w:instrText>
    </w:r>
    <w:r w:rsidRPr="00771CA2">
      <w:rPr>
        <w:b/>
      </w:rPr>
      <w:fldChar w:fldCharType="separate"/>
    </w:r>
    <w:r w:rsidR="007B09D0">
      <w:rPr>
        <w:b/>
        <w:noProof/>
      </w:rPr>
      <w:t>3</w:t>
    </w:r>
    <w:r w:rsidRPr="00771CA2">
      <w:rPr>
        <w:b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01" w:rsidRDefault="008A1801">
    <w:pPr>
      <w:pStyle w:val="Footer"/>
    </w:pPr>
    <w:r w:rsidRPr="00771CA2">
      <w:rPr>
        <w:b/>
        <w:sz w:val="20"/>
        <w:szCs w:val="20"/>
      </w:rPr>
      <w:t xml:space="preserve">© </w:t>
    </w:r>
    <w:r w:rsidRPr="00771CA2">
      <w:rPr>
        <w:b/>
        <w:i/>
        <w:sz w:val="20"/>
        <w:szCs w:val="20"/>
      </w:rPr>
      <w:t>Vernier Software &amp; Technology</w:t>
    </w:r>
    <w:r>
      <w:tab/>
    </w:r>
    <w:r>
      <w:tab/>
    </w:r>
    <w:r w:rsidRPr="00771CA2">
      <w:rPr>
        <w:b/>
      </w:rPr>
      <w:fldChar w:fldCharType="begin"/>
    </w:r>
    <w:r w:rsidRPr="00771CA2">
      <w:rPr>
        <w:b/>
      </w:rPr>
      <w:instrText xml:space="preserve"> PAGE   \* MERGEFORMAT </w:instrText>
    </w:r>
    <w:r w:rsidRPr="00771CA2">
      <w:rPr>
        <w:b/>
      </w:rPr>
      <w:fldChar w:fldCharType="separate"/>
    </w:r>
    <w:r w:rsidR="008512BA">
      <w:rPr>
        <w:b/>
        <w:noProof/>
      </w:rPr>
      <w:t>1</w:t>
    </w:r>
    <w:r w:rsidRPr="00771CA2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801" w:rsidRDefault="008A1801">
      <w:r>
        <w:separator/>
      </w:r>
    </w:p>
  </w:footnote>
  <w:footnote w:type="continuationSeparator" w:id="0">
    <w:p w:rsidR="008A1801" w:rsidRDefault="008A1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01" w:rsidRPr="004F6582" w:rsidRDefault="008A1801" w:rsidP="008512BA">
    <w:pPr>
      <w:pStyle w:val="normal0"/>
      <w:pBdr>
        <w:top w:val="nil"/>
        <w:left w:val="nil"/>
        <w:bottom w:val="single" w:sz="4" w:space="1" w:color="auto"/>
        <w:right w:val="nil"/>
        <w:between w:val="nil"/>
      </w:pBdr>
      <w:spacing w:before="240" w:after="240"/>
      <w:rPr>
        <w:color w:val="000000"/>
      </w:rPr>
    </w:pPr>
    <w:r>
      <w:rPr>
        <w:b/>
        <w:i/>
        <w:color w:val="000000"/>
      </w:rPr>
      <w:t>Enzyme Action: Te</w:t>
    </w:r>
    <w:r>
      <w:rPr>
        <w:b/>
        <w:i/>
      </w:rPr>
      <w:t xml:space="preserve">mperature of </w:t>
    </w:r>
    <w:proofErr w:type="spellStart"/>
    <w:r>
      <w:rPr>
        <w:b/>
        <w:i/>
      </w:rPr>
      <w:t>Denaturation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01" w:rsidRPr="004F6582" w:rsidRDefault="008A1801" w:rsidP="004F6582">
    <w:pPr>
      <w:pStyle w:val="normal0"/>
      <w:pBdr>
        <w:top w:val="nil"/>
        <w:left w:val="nil"/>
        <w:bottom w:val="single" w:sz="4" w:space="1" w:color="auto"/>
        <w:right w:val="nil"/>
        <w:between w:val="nil"/>
      </w:pBdr>
      <w:spacing w:before="240" w:after="240"/>
      <w:jc w:val="right"/>
      <w:rPr>
        <w:color w:val="000000"/>
      </w:rPr>
    </w:pPr>
    <w:r>
      <w:rPr>
        <w:b/>
        <w:i/>
        <w:color w:val="000000"/>
      </w:rPr>
      <w:t>Enzyme Action: Te</w:t>
    </w:r>
    <w:r>
      <w:rPr>
        <w:b/>
        <w:i/>
      </w:rPr>
      <w:t xml:space="preserve">mperature of </w:t>
    </w:r>
    <w:proofErr w:type="spellStart"/>
    <w:r>
      <w:rPr>
        <w:b/>
        <w:i/>
      </w:rPr>
      <w:t>Denaturation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2A0C"/>
    <w:multiLevelType w:val="multilevel"/>
    <w:tmpl w:val="B544A6C8"/>
    <w:lvl w:ilvl="0">
      <w:start w:val="1"/>
      <w:numFmt w:val="bullet"/>
      <w:lvlText w:val=""/>
      <w:lvlJc w:val="left"/>
      <w:pPr>
        <w:ind w:left="0" w:firstLine="0"/>
      </w:pPr>
    </w:lvl>
    <w:lvl w:ilvl="1">
      <w:start w:val="3"/>
      <w:numFmt w:val="lowerLetter"/>
      <w:lvlText w:val="%2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0E060E7"/>
    <w:multiLevelType w:val="multilevel"/>
    <w:tmpl w:val="AFAE31FC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251129D5"/>
    <w:multiLevelType w:val="multilevel"/>
    <w:tmpl w:val="0CBA7596"/>
    <w:lvl w:ilvl="0">
      <w:start w:val="1"/>
      <w:numFmt w:val="decimal"/>
      <w:lvlText w:val="%1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334E7720"/>
    <w:multiLevelType w:val="multilevel"/>
    <w:tmpl w:val="7A4AF5BE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lowerLetter"/>
      <w:lvlText w:val="%2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3EB572EB"/>
    <w:multiLevelType w:val="multilevel"/>
    <w:tmpl w:val="006806E8"/>
    <w:lvl w:ilvl="0">
      <w:start w:val="1"/>
      <w:numFmt w:val="decimal"/>
      <w:lvlText w:val="%1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40096C08"/>
    <w:multiLevelType w:val="multilevel"/>
    <w:tmpl w:val="78B42392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414B1250"/>
    <w:multiLevelType w:val="multilevel"/>
    <w:tmpl w:val="B316F118"/>
    <w:lvl w:ilvl="0">
      <w:start w:val="1"/>
      <w:numFmt w:val="decimal"/>
      <w:pStyle w:val="numberedlist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49883160"/>
    <w:multiLevelType w:val="multilevel"/>
    <w:tmpl w:val="D214CA0A"/>
    <w:lvl w:ilvl="0">
      <w:start w:val="1"/>
      <w:numFmt w:val="bullet"/>
      <w:lvlText w:val=""/>
      <w:lvlJc w:val="left"/>
      <w:pPr>
        <w:ind w:left="0" w:firstLine="0"/>
      </w:pPr>
    </w:lvl>
    <w:lvl w:ilvl="1">
      <w:start w:val="2"/>
      <w:numFmt w:val="lowerLetter"/>
      <w:lvlText w:val="%2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4C8F5E73"/>
    <w:multiLevelType w:val="multilevel"/>
    <w:tmpl w:val="7A4AF5BE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lowerLetter"/>
      <w:lvlText w:val="%2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60A15794"/>
    <w:multiLevelType w:val="multilevel"/>
    <w:tmpl w:val="2ECEE73C"/>
    <w:lvl w:ilvl="0">
      <w:start w:val="9"/>
      <w:numFmt w:val="decimal"/>
      <w:lvlText w:val="%1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72B60AB5"/>
    <w:multiLevelType w:val="multilevel"/>
    <w:tmpl w:val="CA7A28D4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360" w:hanging="210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7E234F90"/>
    <w:multiLevelType w:val="multilevel"/>
    <w:tmpl w:val="38D21E7C"/>
    <w:lvl w:ilvl="0">
      <w:start w:val="1"/>
      <w:numFmt w:val="bullet"/>
      <w:lvlText w:val="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lowerLetter"/>
      <w:pStyle w:val="numberedlistabc"/>
      <w:lvlText w:val="%3."/>
      <w:lvlJc w:val="left"/>
      <w:pPr>
        <w:ind w:left="360" w:hanging="210"/>
      </w:pPr>
      <w:rPr>
        <w:color w:val="000000"/>
        <w:sz w:val="24"/>
        <w:szCs w:val="24"/>
      </w:r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6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ACB"/>
    <w:rsid w:val="003750D4"/>
    <w:rsid w:val="00473ACB"/>
    <w:rsid w:val="004F6582"/>
    <w:rsid w:val="00771CA2"/>
    <w:rsid w:val="007B09D0"/>
    <w:rsid w:val="008512BA"/>
    <w:rsid w:val="008A1801"/>
    <w:rsid w:val="00B837C6"/>
    <w:rsid w:val="00C23F7C"/>
    <w:rsid w:val="00CC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D4"/>
  </w:style>
  <w:style w:type="paragraph" w:styleId="Heading1">
    <w:name w:val="heading 1"/>
    <w:basedOn w:val="Normal"/>
    <w:next w:val="Normal"/>
    <w:uiPriority w:val="9"/>
    <w:qFormat/>
    <w:rsid w:val="003750D4"/>
    <w:pPr>
      <w:pBdr>
        <w:top w:val="nil"/>
        <w:left w:val="nil"/>
        <w:bottom w:val="nil"/>
        <w:right w:val="nil"/>
        <w:between w:val="nil"/>
      </w:pBdr>
      <w:outlineLvl w:val="0"/>
    </w:pPr>
    <w:rPr>
      <w:color w:val="000000"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750D4"/>
    <w:pPr>
      <w:pBdr>
        <w:top w:val="nil"/>
        <w:left w:val="nil"/>
        <w:bottom w:val="nil"/>
        <w:right w:val="nil"/>
        <w:between w:val="nil"/>
      </w:pBdr>
      <w:outlineLvl w:val="1"/>
    </w:pPr>
    <w:rPr>
      <w:color w:val="000000"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750D4"/>
    <w:pPr>
      <w:pBdr>
        <w:top w:val="nil"/>
        <w:left w:val="nil"/>
        <w:bottom w:val="nil"/>
        <w:right w:val="nil"/>
        <w:between w:val="nil"/>
      </w:pBdr>
      <w:outlineLvl w:val="2"/>
    </w:pPr>
    <w:rPr>
      <w:color w:val="000000"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750D4"/>
    <w:pPr>
      <w:pBdr>
        <w:top w:val="nil"/>
        <w:left w:val="nil"/>
        <w:bottom w:val="nil"/>
        <w:right w:val="nil"/>
        <w:between w:val="nil"/>
      </w:pBdr>
      <w:outlineLvl w:val="3"/>
    </w:pPr>
    <w:rPr>
      <w:color w:val="000000"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750D4"/>
    <w:pPr>
      <w:pBdr>
        <w:top w:val="nil"/>
        <w:left w:val="nil"/>
        <w:bottom w:val="nil"/>
        <w:right w:val="nil"/>
        <w:between w:val="nil"/>
      </w:pBdr>
      <w:outlineLvl w:val="4"/>
    </w:pPr>
    <w:rPr>
      <w:color w:val="000000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750D4"/>
    <w:pPr>
      <w:pBdr>
        <w:top w:val="nil"/>
        <w:left w:val="nil"/>
        <w:bottom w:val="nil"/>
        <w:right w:val="nil"/>
        <w:between w:val="nil"/>
      </w:pBdr>
      <w:outlineLvl w:val="5"/>
    </w:pPr>
    <w:rPr>
      <w:color w:val="00000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750D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750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750D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3750D4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771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1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A2"/>
    <w:rPr>
      <w:rFonts w:ascii="Tahoma" w:hAnsi="Tahoma" w:cs="Tahoma"/>
      <w:sz w:val="16"/>
      <w:szCs w:val="16"/>
    </w:rPr>
  </w:style>
  <w:style w:type="paragraph" w:customStyle="1" w:styleId="numberedlist">
    <w:name w:val="numbered list"/>
    <w:basedOn w:val="ListParagraph"/>
    <w:qFormat/>
    <w:rsid w:val="00C23F7C"/>
    <w:pPr>
      <w:numPr>
        <w:numId w:val="11"/>
      </w:numPr>
      <w:pBdr>
        <w:top w:val="nil"/>
        <w:left w:val="nil"/>
        <w:bottom w:val="nil"/>
        <w:right w:val="nil"/>
        <w:between w:val="nil"/>
      </w:pBdr>
      <w:spacing w:after="200" w:line="280" w:lineRule="exact"/>
      <w:ind w:left="360" w:hanging="360"/>
      <w:contextualSpacing w:val="0"/>
    </w:pPr>
    <w:rPr>
      <w:color w:val="000000"/>
    </w:rPr>
  </w:style>
  <w:style w:type="paragraph" w:customStyle="1" w:styleId="numberedlist10">
    <w:name w:val="numbered list 10+"/>
    <w:basedOn w:val="numberedlist"/>
    <w:qFormat/>
    <w:rsid w:val="00771CA2"/>
    <w:pPr>
      <w:ind w:hanging="364"/>
    </w:pPr>
  </w:style>
  <w:style w:type="paragraph" w:customStyle="1" w:styleId="normal0">
    <w:name w:val="normal"/>
    <w:rsid w:val="00771CA2"/>
  </w:style>
  <w:style w:type="paragraph" w:customStyle="1" w:styleId="subhead">
    <w:name w:val="subhead"/>
    <w:basedOn w:val="normal0"/>
    <w:qFormat/>
    <w:rsid w:val="00771CA2"/>
    <w:pPr>
      <w:ind w:firstLine="270"/>
    </w:pPr>
    <w:rPr>
      <w:rFonts w:ascii="Arial" w:hAnsi="Arial" w:cs="Arial"/>
      <w:b/>
      <w:sz w:val="20"/>
      <w:szCs w:val="20"/>
    </w:rPr>
  </w:style>
  <w:style w:type="paragraph" w:customStyle="1" w:styleId="numberedlistabc">
    <w:name w:val="numbered list abc"/>
    <w:basedOn w:val="Normal"/>
    <w:qFormat/>
    <w:rsid w:val="00771CA2"/>
    <w:pPr>
      <w:numPr>
        <w:ilvl w:val="2"/>
        <w:numId w:val="12"/>
      </w:numPr>
      <w:pBdr>
        <w:top w:val="nil"/>
        <w:left w:val="nil"/>
        <w:bottom w:val="nil"/>
        <w:right w:val="nil"/>
        <w:between w:val="nil"/>
      </w:pBdr>
      <w:spacing w:after="100"/>
      <w:ind w:left="540" w:hanging="270"/>
    </w:pPr>
    <w:rPr>
      <w:color w:val="000000"/>
    </w:rPr>
  </w:style>
  <w:style w:type="paragraph" w:styleId="NoSpacing">
    <w:name w:val="No Spacing"/>
    <w:uiPriority w:val="1"/>
    <w:qFormat/>
    <w:rsid w:val="00771CA2"/>
  </w:style>
  <w:style w:type="paragraph" w:styleId="Header">
    <w:name w:val="header"/>
    <w:basedOn w:val="Normal"/>
    <w:link w:val="HeaderChar"/>
    <w:uiPriority w:val="99"/>
    <w:semiHidden/>
    <w:unhideWhenUsed/>
    <w:rsid w:val="00771C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1CA2"/>
  </w:style>
  <w:style w:type="paragraph" w:styleId="Footer">
    <w:name w:val="footer"/>
    <w:basedOn w:val="Normal"/>
    <w:link w:val="FooterChar"/>
    <w:uiPriority w:val="99"/>
    <w:unhideWhenUsed/>
    <w:rsid w:val="00771C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CA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nier.com/manual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vernier.com/start/go-direc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Plank</cp:lastModifiedBy>
  <cp:revision>5</cp:revision>
  <cp:lastPrinted>2020-02-12T00:24:00Z</cp:lastPrinted>
  <dcterms:created xsi:type="dcterms:W3CDTF">2020-02-10T04:34:00Z</dcterms:created>
  <dcterms:modified xsi:type="dcterms:W3CDTF">2020-02-12T01:12:00Z</dcterms:modified>
</cp:coreProperties>
</file>